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D3" w:rsidRDefault="00FA14D3" w:rsidP="00FA14D3">
      <w:pPr>
        <w:jc w:val="right"/>
      </w:pPr>
      <w:r>
        <w:t>Elbląg 2018-09-12</w:t>
      </w:r>
    </w:p>
    <w:p w:rsidR="00FA14D3" w:rsidRPr="009A7B23" w:rsidRDefault="00FA14D3" w:rsidP="00FA14D3">
      <w:pPr>
        <w:rPr>
          <w:b/>
        </w:rPr>
      </w:pPr>
      <w:r w:rsidRPr="009A7B23">
        <w:rPr>
          <w:b/>
        </w:rPr>
        <w:t>Organizator</w:t>
      </w:r>
    </w:p>
    <w:p w:rsidR="00FA14D3" w:rsidRDefault="00FA14D3" w:rsidP="00FA14D3">
      <w:r>
        <w:t>Gmina Elbląg</w:t>
      </w:r>
    </w:p>
    <w:p w:rsidR="00FA14D3" w:rsidRDefault="00FA14D3" w:rsidP="00FA14D3">
      <w:r>
        <w:t>ul. Browarna 85</w:t>
      </w:r>
    </w:p>
    <w:p w:rsidR="00FA14D3" w:rsidRDefault="00FA14D3" w:rsidP="00FA14D3">
      <w:r>
        <w:t>82-300 Elbląg</w:t>
      </w:r>
    </w:p>
    <w:p w:rsidR="00FA14D3" w:rsidRDefault="00FA14D3" w:rsidP="00FA14D3"/>
    <w:p w:rsidR="005C0940" w:rsidRDefault="005C0940" w:rsidP="00FA14D3"/>
    <w:p w:rsidR="005C0940" w:rsidRPr="005C0940" w:rsidRDefault="005C0940" w:rsidP="005C0940">
      <w:pPr>
        <w:jc w:val="center"/>
        <w:rPr>
          <w:b/>
          <w:sz w:val="32"/>
          <w:szCs w:val="32"/>
        </w:rPr>
      </w:pPr>
      <w:r w:rsidRPr="005C0940">
        <w:rPr>
          <w:b/>
          <w:sz w:val="32"/>
          <w:szCs w:val="32"/>
        </w:rPr>
        <w:t>Zaproszenie do składania ofert</w:t>
      </w:r>
    </w:p>
    <w:p w:rsidR="005C0940" w:rsidRDefault="005C0940" w:rsidP="00FA14D3"/>
    <w:p w:rsidR="005C0940" w:rsidRDefault="005C0940" w:rsidP="00FA14D3"/>
    <w:p w:rsidR="00FA14D3" w:rsidRPr="009A7B23" w:rsidRDefault="00FA14D3" w:rsidP="00FA14D3">
      <w:pPr>
        <w:rPr>
          <w:b/>
        </w:rPr>
      </w:pPr>
      <w:r w:rsidRPr="009A7B23">
        <w:rPr>
          <w:b/>
        </w:rPr>
        <w:t>Miejsce i termin składania ofert</w:t>
      </w:r>
    </w:p>
    <w:p w:rsidR="00FA14D3" w:rsidRDefault="00FA14D3" w:rsidP="00FA14D3">
      <w:pPr>
        <w:jc w:val="both"/>
      </w:pPr>
      <w:r>
        <w:t>Oferty należy składać do 30 października 2018 r</w:t>
      </w:r>
      <w:r w:rsidR="00797CC1">
        <w:t>.</w:t>
      </w:r>
      <w:r>
        <w:t xml:space="preserve"> do godz. 15:00 osobiście lub listownie na adres Urząd Gminy Elbląg, ul. Browarna 85, 82-300 Elbląg</w:t>
      </w:r>
      <w:r w:rsidR="009C0823">
        <w:t xml:space="preserve"> </w:t>
      </w:r>
      <w:r>
        <w:t>(pokój nr 20)</w:t>
      </w:r>
    </w:p>
    <w:p w:rsidR="00FA14D3" w:rsidRDefault="00FA14D3" w:rsidP="00FA14D3">
      <w:pPr>
        <w:jc w:val="both"/>
      </w:pPr>
      <w:r>
        <w:t>Oferta powinna być złożona w trwale zamkniętej kopercie oznakowanej „Oferta na wybór Agenta Emisji Obligacji komunalnych”.</w:t>
      </w:r>
    </w:p>
    <w:p w:rsidR="00FA14D3" w:rsidRDefault="00FA14D3" w:rsidP="00FA14D3"/>
    <w:p w:rsidR="00FA14D3" w:rsidRDefault="00FA14D3" w:rsidP="00FA14D3">
      <w:r w:rsidRPr="009A7B23">
        <w:rPr>
          <w:b/>
        </w:rPr>
        <w:t>Osoba do kontaktu</w:t>
      </w:r>
      <w:r>
        <w:t>:</w:t>
      </w:r>
    </w:p>
    <w:p w:rsidR="00FA14D3" w:rsidRDefault="00FA14D3" w:rsidP="00FA14D3">
      <w:r>
        <w:t>Wioletta Kotkowska – tel. (55) 2341884 w.</w:t>
      </w:r>
      <w:r w:rsidR="009C0823">
        <w:t xml:space="preserve"> </w:t>
      </w:r>
      <w:r>
        <w:t xml:space="preserve">25, 509-450-965 </w:t>
      </w:r>
    </w:p>
    <w:p w:rsidR="00FA14D3" w:rsidRDefault="00FA14D3" w:rsidP="00FA14D3">
      <w:r>
        <w:t>e-mail:wioletta.kotkowska@gminaelblag.pl</w:t>
      </w:r>
    </w:p>
    <w:p w:rsidR="00FA14D3" w:rsidRDefault="00FA14D3" w:rsidP="00FA14D3"/>
    <w:p w:rsidR="00FA14D3" w:rsidRPr="005D7CF8" w:rsidRDefault="00FA14D3" w:rsidP="00FA14D3">
      <w:pPr>
        <w:rPr>
          <w:b/>
        </w:rPr>
      </w:pPr>
      <w:r w:rsidRPr="005D7CF8">
        <w:rPr>
          <w:b/>
        </w:rPr>
        <w:t>Warunki składania ofert</w:t>
      </w:r>
    </w:p>
    <w:p w:rsidR="00FA14D3" w:rsidRDefault="00FA14D3" w:rsidP="00FA14D3">
      <w:pPr>
        <w:jc w:val="both"/>
      </w:pPr>
      <w:r>
        <w:t>Niniejsze postępowanie na wybór Agenta Emisji Obligacji komunalnych jest postępowaniem pisemnym, prowadzonym na podstawie Kodeksu Cywilnego, zgodnie z art.4 pkt. 3 lit. j ustawy z dnia 29 stycznia 2004 r. Prawo zamówień publicznych (</w:t>
      </w:r>
      <w:proofErr w:type="spellStart"/>
      <w:r>
        <w:t>Dz.U</w:t>
      </w:r>
      <w:proofErr w:type="spellEnd"/>
      <w:r>
        <w:t xml:space="preserve">. z 2017 r. , poz. 1579 z </w:t>
      </w:r>
      <w:proofErr w:type="spellStart"/>
      <w:r>
        <w:t>późn</w:t>
      </w:r>
      <w:proofErr w:type="spellEnd"/>
      <w:r>
        <w:t xml:space="preserve">. zm.). Do zamówień, których przedmiotem są usługi finansowe związane z emisją, sprzedażą, kupnem lub zbyciem papierów wartościowych lub innych instrumentów finansowych, w rozumieniu ustawy z dnia 29 lipca 2005r. o obrocie instrumentami finansowymi, nie stosuje się przepisów ustawy </w:t>
      </w:r>
      <w:proofErr w:type="spellStart"/>
      <w:r>
        <w:t>pzp</w:t>
      </w:r>
      <w:proofErr w:type="spellEnd"/>
      <w:r>
        <w:t>.</w:t>
      </w:r>
    </w:p>
    <w:p w:rsidR="00FA14D3" w:rsidRDefault="00FA14D3" w:rsidP="00FA14D3">
      <w:pPr>
        <w:spacing w:before="120"/>
        <w:jc w:val="both"/>
      </w:pPr>
      <w:r>
        <w:t>Organizator zastrzega sobie prawo zmiany warunków postępowania, możliwość jego unieważnienia na każdym etapie bez podania przyczyny oraz do negocjacji ostatecznych Banków lub domów maklerskich, które złożą najkorzystniejszą ofertę.</w:t>
      </w:r>
    </w:p>
    <w:p w:rsidR="00FA14D3" w:rsidRDefault="00FA14D3" w:rsidP="009C0823">
      <w:pPr>
        <w:spacing w:before="120"/>
      </w:pPr>
      <w:r>
        <w:t>Wszelkie koszty przygotowania i złożenia oferty ponosi Oferent.</w:t>
      </w:r>
    </w:p>
    <w:p w:rsidR="00FA14D3" w:rsidRDefault="00FA14D3" w:rsidP="00FA14D3"/>
    <w:p w:rsidR="00FA14D3" w:rsidRDefault="00FA14D3" w:rsidP="00FA14D3"/>
    <w:p w:rsidR="00FA14D3" w:rsidRPr="00FA14D3" w:rsidRDefault="00FA14D3" w:rsidP="00FA14D3">
      <w:pPr>
        <w:rPr>
          <w:b/>
        </w:rPr>
      </w:pPr>
      <w:r w:rsidRPr="00FA14D3">
        <w:rPr>
          <w:b/>
        </w:rPr>
        <w:t>Informacje o emisji obligacji</w:t>
      </w:r>
    </w:p>
    <w:p w:rsidR="00FA14D3" w:rsidRDefault="00FA14D3" w:rsidP="00FA14D3">
      <w:pPr>
        <w:jc w:val="both"/>
      </w:pPr>
      <w:r>
        <w:t>W związku z planowym pozyskaniem środków finansowych w kwocie 4 700 000 zł z emisji obligacji komunalnych do wstępnej oceny kosztów emisji Gmina Elbląg na podstawie złożonych przez Państwa ofert, dokona sondażu kosztów emisji obligacji oraz w</w:t>
      </w:r>
      <w:r w:rsidR="009C0823">
        <w:t>yb</w:t>
      </w:r>
      <w:r>
        <w:t>ierze Agenta Emisji, z którym będzie współpracować przy organizacji emisji.</w:t>
      </w:r>
    </w:p>
    <w:p w:rsidR="00FA14D3" w:rsidRDefault="00FA14D3" w:rsidP="00FA14D3">
      <w:pPr>
        <w:spacing w:before="120"/>
        <w:jc w:val="both"/>
      </w:pPr>
      <w:r>
        <w:t>Zgodnie z Uchwałą Nr XXXVII/277/2018 Rady Gminy Elbląg z dnia 26 lipca 2018 r. w sprawie emisji obligacji, Wójt Gminy Elbląg, działając w imieniu Gminy Elbląg, zaprasza do składania ofert na wybór Agenta Emisji Obligacji komunalnych.</w:t>
      </w:r>
    </w:p>
    <w:p w:rsidR="00FA14D3" w:rsidRDefault="00FA14D3" w:rsidP="00FA14D3">
      <w:pPr>
        <w:spacing w:before="120"/>
        <w:jc w:val="both"/>
      </w:pPr>
      <w:r>
        <w:t>Przedmiotem zamówienia jest świadczenie kompleksowych usług związanych z pełnieniem funkcji agenta emisji obligacji komunalnych dla Gminy Elbląg na kwotę 4 700 000 zł (słownie: cztery miliony siedemset tysięcy złotych), łącznie z objęciem całej emisji gwarancją uplasowania przez Agenta Emisji.</w:t>
      </w:r>
    </w:p>
    <w:p w:rsidR="00FA14D3" w:rsidRDefault="00FA14D3" w:rsidP="00FA14D3">
      <w:pPr>
        <w:spacing w:before="120"/>
        <w:jc w:val="both"/>
      </w:pPr>
      <w:r>
        <w:t>Środki pozyskane z emisji obligacji komunalnych zostaną przeznaczone na sfinansowanie planowanego deficytu budżetu, w związku z realizacją zadań majątkowych.</w:t>
      </w:r>
    </w:p>
    <w:p w:rsidR="00FA14D3" w:rsidRDefault="00FA14D3" w:rsidP="00FA14D3">
      <w:r>
        <w:lastRenderedPageBreak/>
        <w:t>Obligacje zostaną wyemitowane do 30 grudnia 2018 r. w 9 seriach:</w:t>
      </w:r>
    </w:p>
    <w:p w:rsidR="00FA14D3" w:rsidRDefault="00FA14D3" w:rsidP="00FA14D3">
      <w:r>
        <w:t xml:space="preserve">seria A18 – 250 000 zł </w:t>
      </w:r>
    </w:p>
    <w:p w:rsidR="00FA14D3" w:rsidRDefault="00FA14D3" w:rsidP="00FA14D3">
      <w:r>
        <w:t xml:space="preserve">seria B18 -  250 000 zł </w:t>
      </w:r>
    </w:p>
    <w:p w:rsidR="00FA14D3" w:rsidRDefault="00FA14D3" w:rsidP="00FA14D3">
      <w:r>
        <w:t xml:space="preserve">seria C18 -  250 000 zł </w:t>
      </w:r>
    </w:p>
    <w:p w:rsidR="00FA14D3" w:rsidRDefault="00FA14D3" w:rsidP="00FA14D3">
      <w:r>
        <w:t xml:space="preserve">seria D18 – 300 000 zł </w:t>
      </w:r>
    </w:p>
    <w:p w:rsidR="00FA14D3" w:rsidRPr="00FA14D3" w:rsidRDefault="00FA14D3" w:rsidP="00FA14D3">
      <w:r w:rsidRPr="00FA14D3">
        <w:t xml:space="preserve">seria E18 – 300 000 zł </w:t>
      </w:r>
    </w:p>
    <w:p w:rsidR="00FA14D3" w:rsidRPr="00FA14D3" w:rsidRDefault="00FA14D3" w:rsidP="00FA14D3">
      <w:r w:rsidRPr="00FA14D3">
        <w:t xml:space="preserve">seria F18 -  800 000 zł </w:t>
      </w:r>
    </w:p>
    <w:p w:rsidR="00FA14D3" w:rsidRPr="00FA14D3" w:rsidRDefault="00FA14D3" w:rsidP="00FA14D3">
      <w:r w:rsidRPr="00FA14D3">
        <w:t xml:space="preserve">seria G18 – 850 000 zł </w:t>
      </w:r>
    </w:p>
    <w:p w:rsidR="00FA14D3" w:rsidRPr="00FA14D3" w:rsidRDefault="00FA14D3" w:rsidP="00FA14D3">
      <w:r w:rsidRPr="00FA14D3">
        <w:t xml:space="preserve">seria H18 – 850 000 zł </w:t>
      </w:r>
    </w:p>
    <w:p w:rsidR="00FA14D3" w:rsidRPr="00FA14D3" w:rsidRDefault="00FA14D3" w:rsidP="00FA14D3">
      <w:r w:rsidRPr="00FA14D3">
        <w:t xml:space="preserve">seria I 18 – 850 000 zł </w:t>
      </w:r>
    </w:p>
    <w:p w:rsidR="00FA14D3" w:rsidRPr="00FA14D3" w:rsidRDefault="00FA14D3" w:rsidP="00FA14D3"/>
    <w:p w:rsidR="00FA14D3" w:rsidRPr="00FA14D3" w:rsidRDefault="00FA14D3" w:rsidP="00FA14D3">
      <w:pPr>
        <w:jc w:val="both"/>
        <w:rPr>
          <w:snapToGrid w:val="0"/>
        </w:rPr>
      </w:pPr>
      <w:r w:rsidRPr="00FA14D3">
        <w:rPr>
          <w:snapToGrid w:val="0"/>
        </w:rPr>
        <w:t xml:space="preserve">Obligacje zostaną wykupione w następujących terminach: 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A18</w:t>
      </w:r>
      <w:r w:rsidRPr="00FA14D3">
        <w:t xml:space="preserve"> zostaną wykupione w 2024 r.,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B18</w:t>
      </w:r>
      <w:r w:rsidRPr="00FA14D3">
        <w:t xml:space="preserve"> zostaną wykupione w 2025 r.,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C18</w:t>
      </w:r>
      <w:r w:rsidRPr="00FA14D3">
        <w:t xml:space="preserve"> zostaną wykupione w 2026 r.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D18</w:t>
      </w:r>
      <w:r w:rsidRPr="00FA14D3">
        <w:t xml:space="preserve"> zostaną wykupione w 2027 r.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E18</w:t>
      </w:r>
      <w:r w:rsidRPr="00FA14D3">
        <w:t xml:space="preserve"> zostaną wykupione w 2028 r.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F18</w:t>
      </w:r>
      <w:r w:rsidRPr="00FA14D3">
        <w:t xml:space="preserve"> zostaną wykupione w 2029 r.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G18</w:t>
      </w:r>
      <w:r w:rsidRPr="00FA14D3">
        <w:t xml:space="preserve"> zostaną wykupione w 2030 r.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H18</w:t>
      </w:r>
      <w:r w:rsidRPr="00FA14D3">
        <w:t xml:space="preserve"> zostaną wykupione w 2031 r.</w:t>
      </w:r>
    </w:p>
    <w:p w:rsidR="00FA14D3" w:rsidRPr="00FA14D3" w:rsidRDefault="00FA14D3" w:rsidP="00FA14D3">
      <w:pPr>
        <w:numPr>
          <w:ilvl w:val="0"/>
          <w:numId w:val="1"/>
        </w:numPr>
        <w:tabs>
          <w:tab w:val="clear" w:pos="644"/>
        </w:tabs>
        <w:ind w:left="567" w:hanging="567"/>
        <w:jc w:val="both"/>
      </w:pPr>
      <w:r w:rsidRPr="00FA14D3">
        <w:t xml:space="preserve">obligacje serii </w:t>
      </w:r>
      <w:r w:rsidRPr="00FA14D3">
        <w:rPr>
          <w:b/>
        </w:rPr>
        <w:t>I18</w:t>
      </w:r>
      <w:r w:rsidRPr="00FA14D3">
        <w:t xml:space="preserve"> zostaną wykupione w  2032 r.</w:t>
      </w:r>
    </w:p>
    <w:p w:rsidR="00FA14D3" w:rsidRPr="00FA14D3" w:rsidRDefault="00FA14D3" w:rsidP="00FA14D3">
      <w:pPr>
        <w:ind w:left="567" w:hanging="567"/>
      </w:pPr>
    </w:p>
    <w:p w:rsidR="00FA14D3" w:rsidRPr="00FA14D3" w:rsidRDefault="00FA14D3" w:rsidP="00FA14D3">
      <w:pPr>
        <w:jc w:val="both"/>
      </w:pPr>
      <w:r>
        <w:t>Organizator zastrzega</w:t>
      </w:r>
      <w:r w:rsidRPr="00FA14D3">
        <w:t>, że Oferent nie będzie pobierał dodatkowych prowizji i opłat od niewy</w:t>
      </w:r>
      <w:r>
        <w:t>korzystanej pełnej kwoty emisji</w:t>
      </w:r>
      <w:r w:rsidRPr="00FA14D3">
        <w:t>, rezygnacji z którejkolwiek serii oraz wcześniejszego wykupu poszczególnych serii obligacji.</w:t>
      </w:r>
    </w:p>
    <w:p w:rsidR="00FA14D3" w:rsidRDefault="00FA14D3" w:rsidP="00FA14D3">
      <w:pPr>
        <w:spacing w:before="120"/>
        <w:jc w:val="both"/>
      </w:pPr>
      <w:r w:rsidRPr="00FA14D3">
        <w:t>Oprocent</w:t>
      </w:r>
      <w:r>
        <w:t>owanie obligacji będzie zmienne</w:t>
      </w:r>
      <w:r w:rsidRPr="00FA14D3">
        <w:t>, ustalane przed rozpoczęciem każdego półrocznego (6 m</w:t>
      </w:r>
      <w:r>
        <w:t>iesięcznego) okresu odsetkowego</w:t>
      </w:r>
      <w:r w:rsidRPr="00FA14D3">
        <w:t>, jako stawka bazowa WIBOR 6M ustalana na podstawie notowania na dwa dni przed rozpoczęciem danego okresu odsetkowego, powiększona o marżę dla inwestorów.</w:t>
      </w:r>
    </w:p>
    <w:p w:rsidR="00FA14D3" w:rsidRDefault="00FA14D3" w:rsidP="00FA14D3">
      <w:pPr>
        <w:spacing w:before="120"/>
        <w:jc w:val="both"/>
      </w:pPr>
      <w:r w:rsidRPr="00FA14D3">
        <w:t>Oprocentowanie us</w:t>
      </w:r>
      <w:r>
        <w:t>tala się w okresach półrocznych</w:t>
      </w:r>
      <w:r w:rsidRPr="00FA14D3">
        <w:t>, liczonych od daty emisji w następnym dniu roboczym po upływie danego okresu odsetkowego , co określone zostanie w propozycji</w:t>
      </w:r>
      <w:r>
        <w:t xml:space="preserve"> nabycia obligacji. Jeżeli termin wypłaty przypadnie w sobotę lub dzień ustawowo wolny od pracy, wypłata oprocentowania nastąpi w najbliższym dniu roboczym.</w:t>
      </w:r>
    </w:p>
    <w:p w:rsidR="00FA14D3" w:rsidRDefault="00FA14D3" w:rsidP="00FA14D3">
      <w:pPr>
        <w:spacing w:before="120"/>
        <w:jc w:val="both"/>
      </w:pPr>
      <w:r>
        <w:t xml:space="preserve">Oprocentowanie ustala się w oparciu o rzeczywistą liczbę dni w okresie odsetkowym oraz przyjmuje się, że rok liczy 365/366 dni. Stopę oprocentowania zaokrągla się do dwóch miejsc po przecinku. </w:t>
      </w:r>
    </w:p>
    <w:p w:rsidR="00FA14D3" w:rsidRDefault="00FA14D3" w:rsidP="00FA14D3">
      <w:pPr>
        <w:spacing w:before="120"/>
        <w:jc w:val="both"/>
      </w:pPr>
      <w:r>
        <w:t>Oferta powinna zawierać proponowana przez Agenta emisji wysokość marży ponad zmienną stawkę WIBOR 6M, stałą dla danej serii w okresie do wykupu.</w:t>
      </w:r>
    </w:p>
    <w:p w:rsidR="00FA14D3" w:rsidRDefault="00FA14D3" w:rsidP="00FA14D3">
      <w:pPr>
        <w:spacing w:before="120"/>
        <w:jc w:val="both"/>
      </w:pPr>
      <w:r>
        <w:t xml:space="preserve">Najistotniejszym kryterium wyboru oferty będzie koszt emisji wyliczony dla każdego z Banków przez Organizatora , według jednolitej metodologii w oparciu o notowania WIBOR 6M z dnia 10 września 2018 r., w wysokości 1,79% oraz podane w ofercie parametry tj. marżę i prowizję. Dodatkowo Organizator przy wyborze danego Banku do ostatecznych negocjacji może uwzględnić doświadczenie Banku w organizacji emisji obligacji oraz inne dodatkowe elementy zaproponowane w formularzu ofertowym. </w:t>
      </w:r>
    </w:p>
    <w:p w:rsidR="00FA14D3" w:rsidRDefault="00FA14D3" w:rsidP="00FA14D3">
      <w:pPr>
        <w:spacing w:before="120"/>
        <w:jc w:val="both"/>
      </w:pPr>
      <w:r>
        <w:t xml:space="preserve">Ofertę składa się wg wzoru załączonego do niniejszego zaproszenia, </w:t>
      </w:r>
      <w:proofErr w:type="spellStart"/>
      <w:r>
        <w:t>załałącznika</w:t>
      </w:r>
      <w:proofErr w:type="spellEnd"/>
      <w:r>
        <w:t xml:space="preserve"> Nr 1 FORMULARZ OFERTOWY oraz załącza się wymagane dokumenty, zgodnie z niniejszym zaproszeniem.</w:t>
      </w:r>
    </w:p>
    <w:p w:rsidR="00FA14D3" w:rsidRDefault="00FA14D3" w:rsidP="00FA14D3">
      <w:pPr>
        <w:spacing w:before="120"/>
        <w:jc w:val="both"/>
      </w:pPr>
      <w:r>
        <w:lastRenderedPageBreak/>
        <w:t>Do oferty należy załączyć :</w:t>
      </w:r>
    </w:p>
    <w:p w:rsidR="00FA14D3" w:rsidRDefault="00FA14D3" w:rsidP="00FA14D3">
      <w:pPr>
        <w:numPr>
          <w:ilvl w:val="0"/>
          <w:numId w:val="3"/>
        </w:numPr>
        <w:ind w:left="567" w:hanging="567"/>
        <w:jc w:val="both"/>
      </w:pPr>
      <w:r>
        <w:t>dokumenty potwierdzające , że osoby podpisujące ofertę mogą reprezentować dany podmiot (KRS, pełnomocnictwa).</w:t>
      </w:r>
    </w:p>
    <w:p w:rsidR="00FA14D3" w:rsidRDefault="00FA14D3" w:rsidP="00FA14D3">
      <w:pPr>
        <w:numPr>
          <w:ilvl w:val="0"/>
          <w:numId w:val="3"/>
        </w:numPr>
        <w:ind w:left="567" w:hanging="567"/>
        <w:jc w:val="both"/>
      </w:pPr>
      <w:r>
        <w:t xml:space="preserve">Załącznik Nr 2 – oświadczenie, że w okresie ostatnich pięciu lat Oferent co najmniej 3 razy był organizatorem emisji obligacji komunalnych. </w:t>
      </w:r>
    </w:p>
    <w:p w:rsidR="00FA14D3" w:rsidRDefault="00FA14D3" w:rsidP="00FA14D3">
      <w:pPr>
        <w:numPr>
          <w:ilvl w:val="0"/>
          <w:numId w:val="3"/>
        </w:numPr>
        <w:ind w:left="567" w:hanging="567"/>
        <w:jc w:val="both"/>
      </w:pPr>
      <w:r>
        <w:t>Projekt umowy emisyjnej, do którego zastrzegamy prawo do dokonywania zmian i poprawek.</w:t>
      </w:r>
    </w:p>
    <w:p w:rsidR="00FA14D3" w:rsidRDefault="00FA14D3" w:rsidP="00FA14D3">
      <w:pPr>
        <w:ind w:left="720"/>
        <w:jc w:val="both"/>
      </w:pPr>
    </w:p>
    <w:p w:rsidR="00FA14D3" w:rsidRDefault="00FA14D3" w:rsidP="00FA14D3">
      <w:pPr>
        <w:jc w:val="both"/>
      </w:pPr>
      <w:r>
        <w:t xml:space="preserve">Organizator zastrzega, że nie poniesie żadnych kosztów prowizyjnych oraz opłat oprócz prowizji wymienionej w formularzu ofertowym. </w:t>
      </w:r>
    </w:p>
    <w:p w:rsidR="00FA14D3" w:rsidRDefault="00FA14D3" w:rsidP="00FA14D3">
      <w:pPr>
        <w:spacing w:before="120"/>
        <w:jc w:val="both"/>
      </w:pPr>
      <w:r>
        <w:t>Organizator nie dopuszcza możliwości sporządzania dla potrzeb Oferentów informacji w postaci przetworzonej według wzorów i wytycznych wynikających z indywidualnego zapotrzebowania Oferentów.</w:t>
      </w:r>
    </w:p>
    <w:p w:rsidR="00FA14D3" w:rsidRDefault="00FA14D3" w:rsidP="00FA14D3">
      <w:pPr>
        <w:spacing w:before="120"/>
        <w:jc w:val="both"/>
      </w:pPr>
      <w:r>
        <w:t>Dokumenty jakie mogą uzyskać Oferenci od Organizatora będą miały wyłącznie charakter dokumentów źródłowych o ile nie są umieszczone na stronie BIP Organizatora, przekazywane będą w wersji elektronicznej na wniosek zainteresowanych podmiotów.</w:t>
      </w:r>
    </w:p>
    <w:p w:rsidR="00FA14D3" w:rsidRDefault="00FA14D3" w:rsidP="00FA14D3">
      <w:pPr>
        <w:spacing w:before="120"/>
        <w:jc w:val="both"/>
      </w:pPr>
      <w:r>
        <w:t>Organizator informuje, że złożone oferty będą miały charakter wiążący do momentu zawarcia umowy z wybranym Oferentem lub zamknięcia postępowania bez wybrania którejkolwiek z ofert. Warunki podane w ofercie nie mogą ulec zwiększeniu.</w:t>
      </w:r>
    </w:p>
    <w:p w:rsidR="00FA14D3" w:rsidRDefault="00FA14D3" w:rsidP="00FA14D3">
      <w:pPr>
        <w:spacing w:before="120"/>
        <w:jc w:val="both"/>
      </w:pPr>
      <w:r>
        <w:t>Wybrany Oferent zostanie poinformowany na piśmie o wyborze oferty, a o dokonanym rozstrzygnięciu zostaną powiadomieni postali Oferenci.</w:t>
      </w:r>
    </w:p>
    <w:p w:rsidR="00FA14D3" w:rsidRDefault="00FA14D3" w:rsidP="00FA14D3">
      <w:pPr>
        <w:spacing w:before="120"/>
        <w:jc w:val="both"/>
      </w:pPr>
      <w:r>
        <w:t>Przesłanie informacji o wyborze ofert nie jest jednoznaczne z zawarciem umowy emisyjnej. Oferent, który zostanie wyłoniony w konkursie musi być gotowy do zawarcia umowy emisyjnej nie później niż 10 dni roboczych od daty powiadomienia o wyborze.</w:t>
      </w:r>
    </w:p>
    <w:p w:rsidR="00FA14D3" w:rsidRDefault="00FA14D3" w:rsidP="00FA14D3">
      <w:pPr>
        <w:spacing w:before="120"/>
        <w:jc w:val="both"/>
      </w:pPr>
      <w:r>
        <w:t>W przypadku gdy wybrany Oferent będzie się uchylać od zawarcia umowy, Organizator może zawrzeć umowę z Oferentem, który złożył kolejną korzystną ofertę.</w:t>
      </w:r>
    </w:p>
    <w:p w:rsidR="00755B17" w:rsidRDefault="00755B17" w:rsidP="00FA14D3">
      <w:pPr>
        <w:jc w:val="both"/>
      </w:pPr>
    </w:p>
    <w:p w:rsidR="00FA14D3" w:rsidRDefault="00FA14D3">
      <w:pPr>
        <w:jc w:val="both"/>
      </w:pPr>
    </w:p>
    <w:sectPr w:rsidR="00FA14D3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119"/>
    <w:multiLevelType w:val="hybridMultilevel"/>
    <w:tmpl w:val="F22AF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D14"/>
    <w:multiLevelType w:val="singleLevel"/>
    <w:tmpl w:val="FBFC79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7D2B31AF"/>
    <w:multiLevelType w:val="hybridMultilevel"/>
    <w:tmpl w:val="765E6D22"/>
    <w:lvl w:ilvl="0" w:tplc="9F22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4D3"/>
    <w:rsid w:val="00183329"/>
    <w:rsid w:val="00237B11"/>
    <w:rsid w:val="003A7ACC"/>
    <w:rsid w:val="00424E20"/>
    <w:rsid w:val="00452F83"/>
    <w:rsid w:val="004A47A7"/>
    <w:rsid w:val="005C0940"/>
    <w:rsid w:val="005F3BB8"/>
    <w:rsid w:val="006D7A54"/>
    <w:rsid w:val="006F40BB"/>
    <w:rsid w:val="00755B17"/>
    <w:rsid w:val="00797CC1"/>
    <w:rsid w:val="009A7F71"/>
    <w:rsid w:val="009C0823"/>
    <w:rsid w:val="00B841A3"/>
    <w:rsid w:val="00DA131A"/>
    <w:rsid w:val="00E62949"/>
    <w:rsid w:val="00ED51AB"/>
    <w:rsid w:val="00EE0A08"/>
    <w:rsid w:val="00F633F8"/>
    <w:rsid w:val="00FA14D3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4D3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5</cp:revision>
  <dcterms:created xsi:type="dcterms:W3CDTF">2018-09-14T05:09:00Z</dcterms:created>
  <dcterms:modified xsi:type="dcterms:W3CDTF">2018-09-14T05:37:00Z</dcterms:modified>
</cp:coreProperties>
</file>